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от</w:t>
      </w:r>
      <w:r w:rsidR="004F7679">
        <w:rPr>
          <w:rFonts w:ascii="Times New Roman" w:hAnsi="Times New Roman" w:cs="Times New Roman"/>
          <w:sz w:val="28"/>
          <w:szCs w:val="28"/>
        </w:rPr>
        <w:t xml:space="preserve"> 25.03.2022 г.</w:t>
      </w:r>
      <w:r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 w:rsidR="004F7679">
        <w:rPr>
          <w:rFonts w:ascii="Times New Roman" w:hAnsi="Times New Roman" w:cs="Times New Roman"/>
          <w:sz w:val="28"/>
          <w:szCs w:val="28"/>
        </w:rPr>
        <w:t>232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:rsidTr="0036030E">
        <w:tc>
          <w:tcPr>
            <w:tcW w:w="4566" w:type="dxa"/>
          </w:tcPr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7679">
              <w:rPr>
                <w:rFonts w:ascii="Times New Roman" w:hAnsi="Times New Roman" w:cs="Times New Roman"/>
                <w:sz w:val="28"/>
                <w:szCs w:val="28"/>
              </w:rPr>
              <w:t xml:space="preserve"> 25.03.2022 г.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F7679">
              <w:rPr>
                <w:rFonts w:ascii="Times New Roman" w:hAnsi="Times New Roman" w:cs="Times New Roman"/>
                <w:sz w:val="28"/>
                <w:szCs w:val="28"/>
              </w:rPr>
              <w:t xml:space="preserve"> 232</w:t>
            </w:r>
            <w:bookmarkStart w:id="0" w:name="_GoBack"/>
            <w:bookmarkEnd w:id="0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4677A8" w:rsidRDefault="008A4CFE" w:rsidP="008A4CFE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4677A8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677A8" w:rsidRPr="004677A8" w:rsidTr="0065483F">
        <w:tc>
          <w:tcPr>
            <w:tcW w:w="3680" w:type="dxa"/>
          </w:tcPr>
          <w:p w:rsidR="004B2E33" w:rsidRPr="004677A8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4677A8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 «Служба спасения г.Ейска»;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4677A8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4677A8" w:rsidTr="0065483F">
        <w:tc>
          <w:tcPr>
            <w:tcW w:w="3680" w:type="dxa"/>
          </w:tcPr>
          <w:p w:rsidR="005F74D6" w:rsidRPr="004677A8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AD5E9F" w:rsidRPr="004677A8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4677A8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4677A8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4677A8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4677A8" w:rsidTr="0065483F">
        <w:tc>
          <w:tcPr>
            <w:tcW w:w="3680" w:type="dxa"/>
          </w:tcPr>
          <w:p w:rsidR="00D26ECA" w:rsidRPr="004677A8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4677A8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4677A8" w:rsidTr="0065483F">
        <w:trPr>
          <w:trHeight w:val="3458"/>
        </w:trPr>
        <w:tc>
          <w:tcPr>
            <w:tcW w:w="3680" w:type="dxa"/>
          </w:tcPr>
          <w:p w:rsidR="00D30F60" w:rsidRPr="004677A8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4677A8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40BF8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3B7EE8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15C7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29DA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4677A8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 w:rsidRPr="004677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 w:rsidRPr="004677A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 w:rsidRPr="004677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4677A8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BDA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7DAE" w:rsidRPr="004677A8">
              <w:rPr>
                <w:rFonts w:ascii="Times New Roman" w:hAnsi="Times New Roman" w:cs="Times New Roman"/>
                <w:sz w:val="28"/>
                <w:szCs w:val="28"/>
              </w:rPr>
              <w:t>066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7DAE" w:rsidRPr="00467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4677A8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75F47" w:rsidRPr="00467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588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4677A8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5F47" w:rsidRPr="004677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4677A8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4677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4677A8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EE8" w:rsidRPr="004677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4677A8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4677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588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4677A8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:rsidR="0038253C" w:rsidRPr="004677A8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Pr="004677A8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города в районе Ейской косы. В результате нагонных волновых явлений в Ейском лимане при западном</w:t>
      </w:r>
      <w:r w:rsidR="007941FE" w:rsidRPr="004677A8">
        <w:rPr>
          <w:rFonts w:ascii="Times New Roman" w:hAnsi="Times New Roman" w:cs="Times New Roman"/>
          <w:sz w:val="28"/>
          <w:szCs w:val="28"/>
        </w:rPr>
        <w:t>, юго-западном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 w:rsidRPr="004677A8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4677A8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 w:rsidRPr="004677A8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4677A8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4677A8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4677A8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4677A8">
        <w:rPr>
          <w:rFonts w:ascii="Times New Roman" w:hAnsi="Times New Roman" w:cs="Times New Roman"/>
          <w:sz w:val="28"/>
          <w:szCs w:val="28"/>
        </w:rPr>
        <w:t>последних лет</w:t>
      </w:r>
      <w:r w:rsidRPr="004677A8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4677A8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4677A8"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677A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4677A8" w:rsidRPr="004677A8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677A8" w:rsidRPr="004677A8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4677A8">
              <w:rPr>
                <w:rFonts w:ascii="Times New Roman" w:hAnsi="Times New Roman" w:cs="Times New Roman"/>
                <w:b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</w:rPr>
              <w:t>2.</w:t>
            </w:r>
            <w:r w:rsidR="008B5A56" w:rsidRPr="004677A8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4677A8">
              <w:rPr>
                <w:rFonts w:ascii="Times New Roman" w:hAnsi="Times New Roman" w:cs="Times New Roman"/>
              </w:rPr>
              <w:t>, подвоз воды, зем</w:t>
            </w:r>
            <w:r w:rsidRPr="004677A8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vMerge w:val="restart"/>
            <w:shd w:val="clear" w:color="auto" w:fill="auto"/>
          </w:tcPr>
          <w:p w:rsidR="001A3ACC" w:rsidRPr="004677A8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4677A8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vMerge/>
            <w:shd w:val="clear" w:color="auto" w:fill="auto"/>
          </w:tcPr>
          <w:p w:rsidR="001A3ACC" w:rsidRPr="004677A8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% охвата площади </w:t>
            </w:r>
            <w:r w:rsidRPr="004677A8">
              <w:rPr>
                <w:rFonts w:ascii="Times New Roman" w:hAnsi="Times New Roman" w:cs="Times New Roman"/>
              </w:rPr>
              <w:lastRenderedPageBreak/>
              <w:t>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не более 8% от </w:t>
            </w:r>
            <w:r w:rsidRPr="004677A8">
              <w:rPr>
                <w:rFonts w:ascii="Times New Roman" w:hAnsi="Times New Roman" w:cs="Times New Roman"/>
              </w:rPr>
              <w:lastRenderedPageBreak/>
              <w:t>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7C7CAD" w:rsidRPr="004677A8" w:rsidRDefault="007C7CAD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4134" w:type="dxa"/>
            <w:shd w:val="clear" w:color="auto" w:fill="auto"/>
          </w:tcPr>
          <w:p w:rsidR="007C7CAD" w:rsidRPr="004677A8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4677A8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C70EB0" w:rsidP="00286F29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снаряжения: мотопомп</w:t>
            </w:r>
            <w:r w:rsidR="00286F29" w:rsidRPr="004677A8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>, бензопилы, бензорез, шлемы пожарного, сигнально-громкоговорящие установки СГУ, радиостанции, специальный ручной инструмент ИРАС, мегафоны, бинокли.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Приобретение водолазного </w:t>
            </w:r>
            <w:r w:rsidRPr="004677A8">
              <w:rPr>
                <w:rFonts w:ascii="Times New Roman" w:hAnsi="Times New Roman" w:cs="Times New Roman"/>
              </w:rPr>
              <w:lastRenderedPageBreak/>
              <w:t>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системы оперативного контроля и </w:t>
            </w:r>
            <w:r w:rsidRPr="004677A8">
              <w:rPr>
                <w:rFonts w:ascii="Times New Roman" w:hAnsi="Times New Roman" w:cs="Times New Roman"/>
              </w:rPr>
              <w:lastRenderedPageBreak/>
              <w:t>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Pr="004677A8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4677A8">
        <w:rPr>
          <w:rFonts w:ascii="Times New Roman" w:hAnsi="Times New Roman" w:cs="Times New Roman"/>
          <w:sz w:val="28"/>
          <w:szCs w:val="28"/>
        </w:rPr>
        <w:t>20</w:t>
      </w:r>
      <w:r w:rsidR="00660151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1</w:t>
      </w:r>
      <w:r w:rsidR="002B5CC3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2, 2023, 2024, 2025</w:t>
      </w:r>
      <w:r w:rsidRPr="004677A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Pr="004677A8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4677A8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4677A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4677A8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4677A8">
        <w:rPr>
          <w:rFonts w:ascii="Times New Roman" w:hAnsi="Times New Roman" w:cs="Times New Roman"/>
          <w:sz w:val="28"/>
          <w:szCs w:val="28"/>
        </w:rPr>
        <w:t>реализ</w:t>
      </w:r>
      <w:r w:rsidRPr="004677A8">
        <w:rPr>
          <w:rFonts w:ascii="Times New Roman" w:hAnsi="Times New Roman" w:cs="Times New Roman"/>
          <w:sz w:val="28"/>
          <w:szCs w:val="28"/>
        </w:rPr>
        <w:t>ации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4677A8">
        <w:rPr>
          <w:rFonts w:ascii="Times New Roman" w:hAnsi="Times New Roman" w:cs="Times New Roman"/>
          <w:sz w:val="28"/>
          <w:szCs w:val="28"/>
        </w:rPr>
        <w:t>.</w:t>
      </w:r>
    </w:p>
    <w:p w:rsidR="00FF4C36" w:rsidRPr="004677A8" w:rsidRDefault="00166696" w:rsidP="00FF4C3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4677A8">
        <w:rPr>
          <w:rFonts w:ascii="Times New Roman" w:hAnsi="Times New Roman" w:cs="Times New Roman"/>
          <w:sz w:val="28"/>
          <w:szCs w:val="28"/>
        </w:rPr>
        <w:t>муниципальной</w:t>
      </w:r>
      <w:r w:rsidRPr="004677A8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4677A8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FF4C36" w:rsidRPr="004677A8">
        <w:rPr>
          <w:rFonts w:ascii="Times New Roman" w:hAnsi="Times New Roman" w:cs="Times New Roman"/>
          <w:sz w:val="28"/>
          <w:szCs w:val="28"/>
        </w:rPr>
        <w:t>122 902,</w:t>
      </w:r>
      <w:r w:rsidR="006604D5" w:rsidRPr="004677A8">
        <w:rPr>
          <w:rFonts w:ascii="Times New Roman" w:hAnsi="Times New Roman" w:cs="Times New Roman"/>
          <w:sz w:val="28"/>
          <w:szCs w:val="28"/>
        </w:rPr>
        <w:t>2</w:t>
      </w:r>
      <w:r w:rsidR="00FF4C36" w:rsidRPr="004677A8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:rsidR="00FF4C36" w:rsidRPr="004677A8" w:rsidRDefault="00FF4C36" w:rsidP="00FF4C36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>на 2022 год – 24 175,1 тысяч рублей;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2023 год – 20 715,6 тысяч рублей;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2024 год – 18 318,3 тысяч рублей;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6604D5" w:rsidRPr="004677A8" w:rsidRDefault="006604D5" w:rsidP="00FF4C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FF4C36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4677A8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4677A8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4677A8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4677A8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4677A8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Pr="004677A8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4677A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77A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4677A8">
        <w:rPr>
          <w:rFonts w:ascii="Times New Roman" w:hAnsi="Times New Roman" w:cs="Times New Roman"/>
          <w:sz w:val="28"/>
          <w:szCs w:val="28"/>
        </w:rPr>
        <w:t>,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4677A8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4677A8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4677A8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Объём финанси</w:t>
            </w:r>
            <w:r w:rsidR="006514B9" w:rsidRPr="004677A8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 том числе по годам реализации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4677A8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4677A8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4677A8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D20295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20295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20295" w:rsidRPr="004677A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0295"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0D7D" w:rsidRPr="004677A8" w:rsidRDefault="00B30D7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D14B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204</w:t>
            </w:r>
            <w:r w:rsidR="00ED14BC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14BC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1134" w:type="dxa"/>
          </w:tcPr>
          <w:p w:rsidR="00B30D7D" w:rsidRPr="004677A8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D14B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ED14BC"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14BC"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1134" w:type="dxa"/>
          </w:tcPr>
          <w:p w:rsidR="00B30D7D" w:rsidRPr="004677A8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125B2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Администрация Ейского город-ского поселения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125B2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F54B1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ЧС, </w:t>
            </w:r>
            <w:r w:rsidRPr="004677A8">
              <w:rPr>
                <w:rFonts w:ascii="Times New Roman" w:hAnsi="Times New Roman" w:cs="Times New Roman"/>
              </w:rPr>
              <w:lastRenderedPageBreak/>
              <w:t>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7.1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5 504,4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1588,3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792,8</w:t>
            </w:r>
          </w:p>
        </w:tc>
        <w:tc>
          <w:tcPr>
            <w:tcW w:w="1134" w:type="dxa"/>
          </w:tcPr>
          <w:p w:rsidR="00ED14BC" w:rsidRPr="004677A8" w:rsidRDefault="00ED14BC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5 504,4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1588,3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792,8</w:t>
            </w:r>
          </w:p>
        </w:tc>
        <w:tc>
          <w:tcPr>
            <w:tcW w:w="1134" w:type="dxa"/>
          </w:tcPr>
          <w:p w:rsidR="00ED14BC" w:rsidRPr="004677A8" w:rsidRDefault="00ED14BC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4677A8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4677A8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4677A8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7.2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448,0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448,0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D0FDC" w:rsidRPr="004677A8" w:rsidRDefault="00C70EB0" w:rsidP="00286F29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снаряжения: мотопомп</w:t>
            </w:r>
            <w:r w:rsidR="00286F29" w:rsidRPr="004677A8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, бензопилы, </w:t>
            </w:r>
            <w:r w:rsidRPr="004677A8">
              <w:rPr>
                <w:rFonts w:ascii="Times New Roman" w:hAnsi="Times New Roman" w:cs="Times New Roman"/>
              </w:rPr>
              <w:lastRenderedPageBreak/>
              <w:t>бензорез, шлемы пожарного, сигнально-громкоговорящие установки СГУ, радиостанции, специальный ручной инструмент ИРАС, мегафоны, бинокли.</w:t>
            </w:r>
          </w:p>
        </w:tc>
        <w:tc>
          <w:tcPr>
            <w:tcW w:w="1985" w:type="dxa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 xml:space="preserve">Демонстрация по </w:t>
            </w:r>
            <w:r w:rsidRPr="004677A8">
              <w:rPr>
                <w:rFonts w:ascii="Times New Roman" w:hAnsi="Times New Roman" w:cs="Times New Roman"/>
              </w:rPr>
              <w:lastRenderedPageBreak/>
              <w:t>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Администрация </w:t>
            </w:r>
            <w:r w:rsidRPr="004677A8">
              <w:rPr>
                <w:rFonts w:ascii="Times New Roman" w:hAnsi="Times New Roman" w:cs="Times New Roman"/>
              </w:rPr>
              <w:lastRenderedPageBreak/>
              <w:t>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7A48EE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437,4</w:t>
            </w:r>
          </w:p>
        </w:tc>
        <w:tc>
          <w:tcPr>
            <w:tcW w:w="1134" w:type="dxa"/>
          </w:tcPr>
          <w:p w:rsidR="00AD5572" w:rsidRPr="004677A8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2397,3</w:t>
            </w:r>
          </w:p>
        </w:tc>
        <w:tc>
          <w:tcPr>
            <w:tcW w:w="1134" w:type="dxa"/>
          </w:tcPr>
          <w:p w:rsidR="00AD5572" w:rsidRPr="004677A8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437,4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2397,3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7.4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9146C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7A48EE" w:rsidRPr="004677A8" w:rsidRDefault="007A48EE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7A48EE" w:rsidRPr="004677A8" w:rsidRDefault="007A48E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9146C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краевой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A48EE" w:rsidRPr="004677A8" w:rsidRDefault="007A48EE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8EE" w:rsidRPr="004677A8" w:rsidRDefault="007A48E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8EE" w:rsidRPr="004677A8" w:rsidRDefault="007A48E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8EE" w:rsidRPr="004677A8" w:rsidRDefault="007A48E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7A48EE" w:rsidRPr="004677A8" w:rsidRDefault="007A48EE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 xml:space="preserve">Техническое обслуживание оборудования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="00F1797F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083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1797F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F1797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1797F" w:rsidRPr="004677A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1797F"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7A48EE" w:rsidRPr="004677A8" w:rsidRDefault="007A48EE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777,0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197,5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777,0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197,5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7.5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4B29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5 342,2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276E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1 062,9</w:t>
            </w:r>
          </w:p>
        </w:tc>
        <w:tc>
          <w:tcPr>
            <w:tcW w:w="1134" w:type="dxa"/>
          </w:tcPr>
          <w:p w:rsidR="00F1797F" w:rsidRPr="004677A8" w:rsidRDefault="00F1797F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321E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5 342,2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1 062,9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1797F" w:rsidRPr="004677A8" w:rsidRDefault="00F1797F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7F" w:rsidRPr="004677A8" w:rsidRDefault="00F1797F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7F" w:rsidRPr="004677A8" w:rsidRDefault="00F1797F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7F" w:rsidRPr="004677A8" w:rsidRDefault="00F1797F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9C736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90F4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7.6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B20FF1" w:rsidP="004C44F1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122 9</w:t>
            </w:r>
            <w:r w:rsidR="005144E8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02,2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B20FF1" w:rsidP="00B20FF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24 175,1</w:t>
            </w:r>
          </w:p>
        </w:tc>
        <w:tc>
          <w:tcPr>
            <w:tcW w:w="1134" w:type="dxa"/>
          </w:tcPr>
          <w:p w:rsidR="00F1797F" w:rsidRPr="004677A8" w:rsidRDefault="00F1797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F1797F" w:rsidRPr="004677A8" w:rsidRDefault="00F1797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F1797F" w:rsidRPr="004677A8" w:rsidRDefault="00F1797F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5144E8" w:rsidP="006604D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122 902,2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6604D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24 175,1</w:t>
            </w:r>
          </w:p>
        </w:tc>
        <w:tc>
          <w:tcPr>
            <w:tcW w:w="1134" w:type="dxa"/>
          </w:tcPr>
          <w:p w:rsidR="00B20FF1" w:rsidRPr="004677A8" w:rsidRDefault="00B20FF1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B20FF1" w:rsidRPr="004677A8" w:rsidRDefault="00B20FF1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B20FF1" w:rsidRPr="004677A8" w:rsidRDefault="00B20FF1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044131" w:rsidRPr="004677A8">
        <w:rPr>
          <w:rFonts w:ascii="Times New Roman" w:hAnsi="Times New Roman" w:cs="Times New Roman"/>
          <w:b/>
          <w:sz w:val="28"/>
          <w:szCs w:val="28"/>
        </w:rPr>
        <w:t>8</w:t>
      </w:r>
      <w:r w:rsidRPr="004677A8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4677A8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4677A8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4677A8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Pr="004677A8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Pr="004677A8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4677A8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4677A8">
        <w:rPr>
          <w:rFonts w:ascii="Times New Roman" w:hAnsi="Times New Roman" w:cs="Times New Roman"/>
          <w:sz w:val="28"/>
          <w:szCs w:val="28"/>
        </w:rPr>
        <w:t>оценк</w:t>
      </w:r>
      <w:r w:rsidR="00F95869" w:rsidRPr="004677A8">
        <w:rPr>
          <w:rFonts w:ascii="Times New Roman" w:hAnsi="Times New Roman" w:cs="Times New Roman"/>
          <w:sz w:val="28"/>
          <w:szCs w:val="28"/>
        </w:rPr>
        <w:t>у</w:t>
      </w:r>
      <w:r w:rsidRPr="004677A8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4677A8">
        <w:rPr>
          <w:rFonts w:ascii="Times New Roman" w:hAnsi="Times New Roman" w:cs="Times New Roman"/>
          <w:sz w:val="28"/>
          <w:szCs w:val="28"/>
        </w:rPr>
        <w:t>её реализации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4677A8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sectPr w:rsidR="00E72241" w:rsidRPr="004677A8" w:rsidSect="002B0ABB">
      <w:headerReference w:type="even" r:id="rId9"/>
      <w:headerReference w:type="default" r:id="rId10"/>
      <w:footerReference w:type="even" r:id="rId11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63" w:rsidRDefault="00057263">
      <w:r>
        <w:separator/>
      </w:r>
    </w:p>
  </w:endnote>
  <w:endnote w:type="continuationSeparator" w:id="0">
    <w:p w:rsidR="00057263" w:rsidRDefault="0005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4D5" w:rsidRDefault="006604D5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04D5" w:rsidRDefault="006604D5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63" w:rsidRDefault="00057263">
      <w:r>
        <w:separator/>
      </w:r>
    </w:p>
  </w:footnote>
  <w:footnote w:type="continuationSeparator" w:id="0">
    <w:p w:rsidR="00057263" w:rsidRDefault="00057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4D5" w:rsidRDefault="006604D5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04D5" w:rsidRDefault="006604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48496"/>
      <w:docPartObj>
        <w:docPartGallery w:val="Page Numbers (Margins)"/>
        <w:docPartUnique/>
      </w:docPartObj>
    </w:sdtPr>
    <w:sdtEndPr/>
    <w:sdtContent>
      <w:p w:rsidR="006604D5" w:rsidRDefault="004F7679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9525" b="254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6604D5" w:rsidRPr="00EF77F9" w:rsidRDefault="006604D5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F7679" w:rsidRPr="004F767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6604D5" w:rsidRPr="00EF77F9" w:rsidRDefault="006604D5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F7679" w:rsidRPr="004F767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96"/>
    <w:rsid w:val="00000CD8"/>
    <w:rsid w:val="000019D1"/>
    <w:rsid w:val="00002D7A"/>
    <w:rsid w:val="00010E9B"/>
    <w:rsid w:val="00013E4F"/>
    <w:rsid w:val="000276E3"/>
    <w:rsid w:val="00030AE1"/>
    <w:rsid w:val="00031475"/>
    <w:rsid w:val="000321ED"/>
    <w:rsid w:val="000354EE"/>
    <w:rsid w:val="00044131"/>
    <w:rsid w:val="000441C2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E0E78"/>
    <w:rsid w:val="000F2BE5"/>
    <w:rsid w:val="000F6DF2"/>
    <w:rsid w:val="00101356"/>
    <w:rsid w:val="001060B0"/>
    <w:rsid w:val="001071E5"/>
    <w:rsid w:val="0011278D"/>
    <w:rsid w:val="00116976"/>
    <w:rsid w:val="001318ED"/>
    <w:rsid w:val="00163B25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D381F"/>
    <w:rsid w:val="001E326F"/>
    <w:rsid w:val="001E3619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8270E"/>
    <w:rsid w:val="00286F29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1E9"/>
    <w:rsid w:val="00301C72"/>
    <w:rsid w:val="00302205"/>
    <w:rsid w:val="00333AA9"/>
    <w:rsid w:val="003354FC"/>
    <w:rsid w:val="003400A0"/>
    <w:rsid w:val="003450C0"/>
    <w:rsid w:val="0034782E"/>
    <w:rsid w:val="00347904"/>
    <w:rsid w:val="00353B06"/>
    <w:rsid w:val="00355242"/>
    <w:rsid w:val="0036030E"/>
    <w:rsid w:val="00361DEB"/>
    <w:rsid w:val="00363777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F4"/>
    <w:rsid w:val="003C1137"/>
    <w:rsid w:val="003C1754"/>
    <w:rsid w:val="003C39FD"/>
    <w:rsid w:val="003C44EC"/>
    <w:rsid w:val="003C464C"/>
    <w:rsid w:val="003C7B82"/>
    <w:rsid w:val="003D12BD"/>
    <w:rsid w:val="003D66E3"/>
    <w:rsid w:val="003D723B"/>
    <w:rsid w:val="003D735A"/>
    <w:rsid w:val="003E7EC3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677A8"/>
    <w:rsid w:val="00471490"/>
    <w:rsid w:val="0047237A"/>
    <w:rsid w:val="004772DA"/>
    <w:rsid w:val="00477CD5"/>
    <w:rsid w:val="00481134"/>
    <w:rsid w:val="0048632D"/>
    <w:rsid w:val="00494466"/>
    <w:rsid w:val="004A540D"/>
    <w:rsid w:val="004B299C"/>
    <w:rsid w:val="004B2E33"/>
    <w:rsid w:val="004C44F1"/>
    <w:rsid w:val="004C4AD0"/>
    <w:rsid w:val="004D2A75"/>
    <w:rsid w:val="004E0C3A"/>
    <w:rsid w:val="004E761A"/>
    <w:rsid w:val="004F2972"/>
    <w:rsid w:val="004F29DA"/>
    <w:rsid w:val="004F4155"/>
    <w:rsid w:val="004F5A0D"/>
    <w:rsid w:val="004F6FA5"/>
    <w:rsid w:val="004F7679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5A4F"/>
    <w:rsid w:val="00566398"/>
    <w:rsid w:val="005666D4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A0E33"/>
    <w:rsid w:val="005A1ABA"/>
    <w:rsid w:val="005A432D"/>
    <w:rsid w:val="005A5593"/>
    <w:rsid w:val="005B114D"/>
    <w:rsid w:val="005B3363"/>
    <w:rsid w:val="005B5428"/>
    <w:rsid w:val="005C16D0"/>
    <w:rsid w:val="005D0FDC"/>
    <w:rsid w:val="005E3AEF"/>
    <w:rsid w:val="005E3B20"/>
    <w:rsid w:val="005F0D2D"/>
    <w:rsid w:val="005F5D11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79F0"/>
    <w:rsid w:val="00677C0F"/>
    <w:rsid w:val="0068471A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E7DDD"/>
    <w:rsid w:val="006F5AC2"/>
    <w:rsid w:val="00702B40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710C"/>
    <w:rsid w:val="007C7CAD"/>
    <w:rsid w:val="007E30A6"/>
    <w:rsid w:val="007E69AD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1CB4"/>
    <w:rsid w:val="00842E63"/>
    <w:rsid w:val="008459DF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6430"/>
    <w:rsid w:val="009B6EA9"/>
    <w:rsid w:val="009C2F50"/>
    <w:rsid w:val="009C5758"/>
    <w:rsid w:val="009C736E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267BC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0FF1"/>
    <w:rsid w:val="00B27B5C"/>
    <w:rsid w:val="00B307D1"/>
    <w:rsid w:val="00B30D7D"/>
    <w:rsid w:val="00B31D8A"/>
    <w:rsid w:val="00B333D0"/>
    <w:rsid w:val="00B372B5"/>
    <w:rsid w:val="00B44141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B2E"/>
    <w:rsid w:val="00BD280F"/>
    <w:rsid w:val="00BD2C3F"/>
    <w:rsid w:val="00BD30D7"/>
    <w:rsid w:val="00BF0E52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77B"/>
    <w:rsid w:val="00C5423D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4C75"/>
    <w:rsid w:val="00CE5E39"/>
    <w:rsid w:val="00CE759A"/>
    <w:rsid w:val="00CF3D85"/>
    <w:rsid w:val="00CF5075"/>
    <w:rsid w:val="00CF660E"/>
    <w:rsid w:val="00D0070C"/>
    <w:rsid w:val="00D02F64"/>
    <w:rsid w:val="00D06C99"/>
    <w:rsid w:val="00D07F5B"/>
    <w:rsid w:val="00D10DD1"/>
    <w:rsid w:val="00D20295"/>
    <w:rsid w:val="00D20E3C"/>
    <w:rsid w:val="00D22D0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4368"/>
    <w:rsid w:val="00E1441E"/>
    <w:rsid w:val="00E211D7"/>
    <w:rsid w:val="00E30108"/>
    <w:rsid w:val="00E315C7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E207F"/>
    <w:rsid w:val="00EE4758"/>
    <w:rsid w:val="00EE59F6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1797F"/>
    <w:rsid w:val="00F220BF"/>
    <w:rsid w:val="00F229C6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4C36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8B5D-F3FC-483C-96D7-B8270F92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4539</Words>
  <Characters>25877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User21</cp:lastModifiedBy>
  <cp:revision>2</cp:revision>
  <cp:lastPrinted>2022-03-21T09:13:00Z</cp:lastPrinted>
  <dcterms:created xsi:type="dcterms:W3CDTF">2022-03-31T14:00:00Z</dcterms:created>
  <dcterms:modified xsi:type="dcterms:W3CDTF">2022-03-31T14:00:00Z</dcterms:modified>
</cp:coreProperties>
</file>